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371BEF" w:rsidRDefault="002D6AE7" w:rsidP="00870A1B">
      <w:pPr>
        <w:pStyle w:val="Title"/>
      </w:pPr>
      <w:bookmarkStart w:id="0" w:name="_Toc417493760"/>
      <w:bookmarkStart w:id="1" w:name="_Toc417494418"/>
      <w:bookmarkStart w:id="2" w:name="_GoBack"/>
      <w:bookmarkEnd w:id="2"/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672643" wp14:editId="1133DCBE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B54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72643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5E4B54" w:rsidRDefault="005E4B54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0DA81701" wp14:editId="04873AC3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C4C19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52E6038F" wp14:editId="5D23720B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F058B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DAFBD2" wp14:editId="72FB695F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B54" w:rsidRDefault="005E4B54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AFBD2"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5E4B54" w:rsidRDefault="005E4B54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0669A8" wp14:editId="3B102D85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B54" w:rsidRPr="00460028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:rsidR="005E4B54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5E4B54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Telephone: +33 1 34 51 70 01  Fax:  +33 1 34 51 82 05</w:t>
                            </w:r>
                          </w:p>
                          <w:p w:rsidR="005E4B54" w:rsidRDefault="005E4B54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e-mail:  </w:t>
                            </w:r>
                            <w:hyperlink r:id="rId8" w:history="1">
                              <w:r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669A8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5E4B54" w:rsidRPr="00460028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5E4B54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5E4B54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Telephone: +33 1 34 51 70 01  Fax:  +33 1 34 51 82 05</w:t>
                      </w:r>
                    </w:p>
                    <w:p w:rsidR="005E4B54" w:rsidRDefault="005E4B54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0" w:history="1">
                        <w:r w:rsidRPr="00713387">
                          <w:rPr>
                            <w:rStyle w:val="Hyperlink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Hyperlink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76AF18D6" wp14:editId="3658BB8F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520337F" wp14:editId="3F643ABF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The maritime use of SBAS</w:t>
                            </w: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E4B54" w:rsidRPr="00380C7B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5E4B54" w:rsidRDefault="005E4B54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0337F"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The maritime use of SBAS</w:t>
                      </w: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E4B54" w:rsidRPr="00380C7B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5E4B54" w:rsidRDefault="005E4B54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  <w:bookmarkEnd w:id="1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3" w:name="_Toc417493761"/>
      <w:bookmarkStart w:id="4" w:name="_Toc417494419"/>
      <w:r w:rsidR="00371BEF" w:rsidRPr="00371BEF">
        <w:lastRenderedPageBreak/>
        <w:t>Table of Contents</w:t>
      </w:r>
      <w:r w:rsidR="00986D5A">
        <w:t xml:space="preserve"> (Title style)</w:t>
      </w:r>
      <w:bookmarkEnd w:id="3"/>
      <w:bookmarkEnd w:id="4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6B402A" w:rsidRDefault="007379A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417494418" w:history="1">
        <w:r w:rsidR="006B402A" w:rsidRPr="00816CFA">
          <w:rPr>
            <w:rStyle w:val="Hyperlink"/>
            <w:noProof/>
          </w:rPr>
          <w:t>Document Revisions (Title style)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_Toc417494418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1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19" w:history="1">
        <w:r w:rsidR="006B402A" w:rsidRPr="00816CFA">
          <w:rPr>
            <w:rStyle w:val="Hyperlink"/>
            <w:noProof/>
          </w:rPr>
          <w:t>Table of Contents (Title style)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_Toc417494419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3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20" w:history="1">
        <w:r w:rsidR="006B402A" w:rsidRPr="00816CFA">
          <w:rPr>
            <w:rStyle w:val="Hyperlink"/>
            <w:noProof/>
          </w:rPr>
          <w:t>Index of Tables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_Toc417494420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4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21" w:history="1">
        <w:r w:rsidR="006B402A" w:rsidRPr="00816CFA">
          <w:rPr>
            <w:rStyle w:val="Hyperlink"/>
            <w:noProof/>
          </w:rPr>
          <w:t>Index of Figures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_Toc417494421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4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22" w:history="1">
        <w:r w:rsidR="006B402A" w:rsidRPr="00816CFA">
          <w:rPr>
            <w:rStyle w:val="Hyperlink"/>
            <w:noProof/>
            <w:highlight w:val="yellow"/>
          </w:rPr>
          <w:t>Title of document</w:t>
        </w:r>
        <w:r w:rsidR="006B402A" w:rsidRPr="00816CFA">
          <w:rPr>
            <w:rStyle w:val="Hyperlink"/>
            <w:noProof/>
          </w:rPr>
          <w:t xml:space="preserve"> (Title style)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_Toc417494422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23" w:history="1">
        <w:r w:rsidR="006B402A" w:rsidRPr="00816CFA">
          <w:rPr>
            <w:rStyle w:val="Hyperlink"/>
            <w:noProof/>
          </w:rPr>
          <w:t>1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 xml:space="preserve">Heading 1 </w:t>
        </w:r>
        <w:r w:rsidR="006B402A" w:rsidRPr="00816CFA">
          <w:rPr>
            <w:rStyle w:val="Hyperlink"/>
            <w:noProof/>
            <w:highlight w:val="green"/>
          </w:rPr>
          <w:t>[Introduction]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_Toc417494423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24" w:history="1">
        <w:r w:rsidR="006B402A" w:rsidRPr="00816CFA">
          <w:rPr>
            <w:rStyle w:val="Hyperlink"/>
            <w:noProof/>
          </w:rPr>
          <w:t>1.1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Heading 2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_Toc417494424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94425" w:history="1">
        <w:r w:rsidR="006B402A" w:rsidRPr="00816CFA">
          <w:rPr>
            <w:rStyle w:val="Hyperlink"/>
            <w:noProof/>
          </w:rPr>
          <w:t>1.1.1</w:t>
        </w:r>
        <w:r w:rsidR="006B402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402A" w:rsidRPr="00816CFA">
          <w:rPr>
            <w:rStyle w:val="Hyperlink"/>
            <w:noProof/>
          </w:rPr>
          <w:t>Heading 3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_Toc417494425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94426" w:history="1">
        <w:r w:rsidR="006B402A" w:rsidRPr="00816CFA">
          <w:rPr>
            <w:rStyle w:val="Hyperlink"/>
            <w:noProof/>
          </w:rPr>
          <w:t>1.1.2</w:t>
        </w:r>
        <w:r w:rsidR="006B402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402A" w:rsidRPr="00816CFA">
          <w:rPr>
            <w:rStyle w:val="Hyperlink"/>
            <w:noProof/>
          </w:rPr>
          <w:t>Heading 3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_Toc417494426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27" w:history="1">
        <w:r w:rsidR="006B402A" w:rsidRPr="00816CFA">
          <w:rPr>
            <w:rStyle w:val="Hyperlink"/>
            <w:i/>
            <w:noProof/>
          </w:rPr>
          <w:t>2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  <w:highlight w:val="green"/>
          </w:rPr>
          <w:t>[Background, as required]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_Toc417494427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28" w:history="1">
        <w:r w:rsidR="006B402A" w:rsidRPr="00816CFA">
          <w:rPr>
            <w:rStyle w:val="Hyperlink"/>
            <w:noProof/>
          </w:rPr>
          <w:t>2.1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Heading 2 again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_Toc417494428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94429" w:history="1">
        <w:r w:rsidR="006B402A" w:rsidRPr="00816CFA">
          <w:rPr>
            <w:rStyle w:val="Hyperlink"/>
            <w:noProof/>
          </w:rPr>
          <w:t>2.1.1</w:t>
        </w:r>
        <w:r w:rsidR="006B402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402A" w:rsidRPr="00816CFA">
          <w:rPr>
            <w:rStyle w:val="Hyperlink"/>
            <w:noProof/>
          </w:rPr>
          <w:t>Heading 3 again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_Toc417494429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5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30" w:history="1">
        <w:r w:rsidR="006B402A" w:rsidRPr="00816CFA">
          <w:rPr>
            <w:rStyle w:val="Hyperlink"/>
            <w:noProof/>
            <w:highlight w:val="green"/>
          </w:rPr>
          <w:t>3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 xml:space="preserve">SCOPE </w:t>
        </w:r>
        <w:r w:rsidR="006B402A" w:rsidRPr="00816CFA">
          <w:rPr>
            <w:rStyle w:val="Hyperlink"/>
            <w:noProof/>
            <w:highlight w:val="green"/>
          </w:rPr>
          <w:t>[Scope / Purpose (may be called Objectives)]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_Toc417494430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6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31" w:history="1">
        <w:r w:rsidR="006B402A" w:rsidRPr="00816CFA">
          <w:rPr>
            <w:rStyle w:val="Hyperlink"/>
            <w:noProof/>
            <w:highlight w:val="green"/>
          </w:rPr>
          <w:t>4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 xml:space="preserve">Heading 1 again </w:t>
        </w:r>
        <w:r w:rsidR="006B402A" w:rsidRPr="00816CFA">
          <w:rPr>
            <w:rStyle w:val="Hyperlink"/>
            <w:noProof/>
            <w:highlight w:val="green"/>
          </w:rPr>
          <w:t>[Definitions / Acronyms, as required]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_Toc417494431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6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32" w:history="1">
        <w:r w:rsidR="006B402A" w:rsidRPr="00816CFA">
          <w:rPr>
            <w:rStyle w:val="Hyperlink"/>
            <w:noProof/>
          </w:rPr>
          <w:t>5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Description of SBAS System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_Toc417494432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6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33" w:history="1">
        <w:r w:rsidR="006B402A" w:rsidRPr="00816CFA">
          <w:rPr>
            <w:rStyle w:val="Hyperlink"/>
            <w:noProof/>
          </w:rPr>
          <w:t>6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SBAS benefits and limitations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_Toc417494433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6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34" w:history="1">
        <w:r w:rsidR="006B402A" w:rsidRPr="00816CFA">
          <w:rPr>
            <w:rStyle w:val="Hyperlink"/>
            <w:noProof/>
          </w:rPr>
          <w:t>7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Identification of the different existing SBAS systems, coverage and performances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_Toc417494434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35" w:history="1">
        <w:r w:rsidR="006B402A" w:rsidRPr="00816CFA">
          <w:rPr>
            <w:rStyle w:val="Hyperlink"/>
            <w:noProof/>
            <w:lang w:eastAsia="de-DE"/>
          </w:rPr>
          <w:t>7.1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  <w:lang w:eastAsia="de-DE"/>
          </w:rPr>
          <w:t>PERFORMANCES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_Toc417494435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36" w:history="1">
        <w:r w:rsidR="006B402A" w:rsidRPr="00816CFA">
          <w:rPr>
            <w:rStyle w:val="Hyperlink"/>
            <w:noProof/>
            <w:lang w:eastAsia="de-DE"/>
          </w:rPr>
          <w:t>7.2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  <w:lang w:eastAsia="de-DE"/>
          </w:rPr>
          <w:t>COVERAGE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_Toc417494436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37" w:history="1">
        <w:r w:rsidR="006B402A" w:rsidRPr="00816CFA">
          <w:rPr>
            <w:rStyle w:val="Hyperlink"/>
            <w:noProof/>
            <w:lang w:eastAsia="de-DE"/>
          </w:rPr>
          <w:t>7.3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INTEROPERABILITY (IWG)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_Toc417494437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38" w:history="1">
        <w:r w:rsidR="006B402A" w:rsidRPr="00816CFA">
          <w:rPr>
            <w:rStyle w:val="Hyperlink"/>
            <w:noProof/>
            <w:lang w:eastAsia="de-DE"/>
          </w:rPr>
          <w:t>7.4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  <w:lang w:eastAsia="de-DE"/>
          </w:rPr>
          <w:t>INTEGRITY CONCEPTS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_Toc417494438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94439" w:history="1">
        <w:r w:rsidR="006B402A" w:rsidRPr="00816CFA">
          <w:rPr>
            <w:rStyle w:val="Hyperlink"/>
            <w:noProof/>
          </w:rPr>
          <w:t>7.4.1</w:t>
        </w:r>
        <w:r w:rsidR="006B402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402A" w:rsidRPr="00816CFA">
          <w:rPr>
            <w:rStyle w:val="Hyperlink"/>
            <w:noProof/>
          </w:rPr>
          <w:t>INTEGRITY AT SYSTEM LEVEL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_Toc417494439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7494440" w:history="1">
        <w:r w:rsidR="006B402A" w:rsidRPr="00816CFA">
          <w:rPr>
            <w:rStyle w:val="Hyperlink"/>
            <w:noProof/>
          </w:rPr>
          <w:t>7.4.2</w:t>
        </w:r>
        <w:r w:rsidR="006B402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402A" w:rsidRPr="00816CFA">
          <w:rPr>
            <w:rStyle w:val="Hyperlink"/>
            <w:noProof/>
          </w:rPr>
          <w:t>INTEGRITY AT USERS’ RECEIVER LEVEL (SBAS INTEGRITY CONCEPT)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_Toc417494440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41" w:history="1">
        <w:r w:rsidR="006B402A" w:rsidRPr="00816CFA">
          <w:rPr>
            <w:rStyle w:val="Hyperlink"/>
            <w:noProof/>
          </w:rPr>
          <w:t>8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SBAS Services description and status, including current use of SBAS by the maritime community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_Toc417494441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42" w:history="1">
        <w:r w:rsidR="006B402A" w:rsidRPr="00816CFA">
          <w:rPr>
            <w:rStyle w:val="Hyperlink"/>
            <w:noProof/>
          </w:rPr>
          <w:t>9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SBAS future developments eg. Extension of SBAS coverages, new versions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_Toc417494442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43" w:history="1">
        <w:r w:rsidR="006B402A" w:rsidRPr="00816CFA">
          <w:rPr>
            <w:rStyle w:val="Hyperlink"/>
            <w:noProof/>
          </w:rPr>
          <w:t>10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Potential use of SBAS in maritime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_Toc417494443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44" w:history="1">
        <w:r w:rsidR="006B402A" w:rsidRPr="00816CFA">
          <w:rPr>
            <w:rStyle w:val="Hyperlink"/>
            <w:noProof/>
          </w:rPr>
          <w:t>10.1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SBAS Signal In Space (SIS)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_Toc417494444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45" w:history="1">
        <w:r w:rsidR="006B402A" w:rsidRPr="00816CFA">
          <w:rPr>
            <w:rStyle w:val="Hyperlink"/>
            <w:noProof/>
          </w:rPr>
          <w:t>10.2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SBAS over DGNSS messages (IALA Beacon)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_Toc417494445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46" w:history="1">
        <w:r w:rsidR="006B402A" w:rsidRPr="00816CFA">
          <w:rPr>
            <w:rStyle w:val="Hyperlink"/>
            <w:noProof/>
          </w:rPr>
          <w:t>10.3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SBAS over Automatic Identification System (AIS)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_Toc417494446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47" w:history="1">
        <w:r w:rsidR="006B402A" w:rsidRPr="00816CFA">
          <w:rPr>
            <w:rStyle w:val="Hyperlink"/>
            <w:noProof/>
          </w:rPr>
          <w:t>10.4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SBAS based Virtual Reference Stations (VRS)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_Toc417494447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417494448" w:history="1">
        <w:r w:rsidR="006B402A" w:rsidRPr="00816CFA">
          <w:rPr>
            <w:rStyle w:val="Hyperlink"/>
            <w:noProof/>
          </w:rPr>
          <w:t>10.5</w:t>
        </w:r>
        <w:r w:rsidR="006B402A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SBAS  over other data channels under development such as VDES (VHF Data Exchange System) and LDC (Loran Data Channel)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_Toc417494448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49" w:history="1">
        <w:r w:rsidR="006B402A" w:rsidRPr="00816CFA">
          <w:rPr>
            <w:rStyle w:val="Hyperlink"/>
            <w:noProof/>
          </w:rPr>
          <w:t>11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Consideration on how SBAS can be used in a resilient PNT system.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_Toc417494449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50" w:history="1">
        <w:r w:rsidR="006B402A" w:rsidRPr="00816CFA">
          <w:rPr>
            <w:rStyle w:val="Hyperlink"/>
            <w:noProof/>
          </w:rPr>
          <w:t>12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Pre-requisite for the adoption of SBAS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_Toc417494450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51" w:history="1">
        <w:r w:rsidR="006B402A" w:rsidRPr="00816CFA">
          <w:rPr>
            <w:rStyle w:val="Hyperlink"/>
            <w:noProof/>
          </w:rPr>
          <w:t>13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conclusions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_Toc417494451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7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4"/>
        <w:rPr>
          <w:rFonts w:asciiTheme="minorHAnsi" w:eastAsiaTheme="minorEastAsia" w:hAnsiTheme="minorHAnsi" w:cstheme="minorBidi"/>
          <w:b w:val="0"/>
          <w:caps w:val="0"/>
        </w:rPr>
      </w:pPr>
      <w:hyperlink w:anchor="_Toc417494452" w:history="1">
        <w:r w:rsidR="006B402A" w:rsidRPr="00816CFA">
          <w:rPr>
            <w:rStyle w:val="Hyperlink"/>
            <w:rFonts w:ascii="Arial Bold" w:hAnsi="Arial Bold"/>
          </w:rPr>
          <w:t>ANNEX A</w:t>
        </w:r>
        <w:r w:rsidR="006B402A"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="006B402A" w:rsidRPr="00816CFA">
          <w:rPr>
            <w:rStyle w:val="Hyperlink"/>
          </w:rPr>
          <w:t>Annex</w:t>
        </w:r>
        <w:r w:rsidR="006B402A">
          <w:rPr>
            <w:webHidden/>
          </w:rPr>
          <w:tab/>
        </w:r>
        <w:r w:rsidR="006B402A">
          <w:rPr>
            <w:webHidden/>
          </w:rPr>
          <w:fldChar w:fldCharType="begin"/>
        </w:r>
        <w:r w:rsidR="006B402A">
          <w:rPr>
            <w:webHidden/>
          </w:rPr>
          <w:instrText xml:space="preserve"> PAGEREF _Toc417494452 \h </w:instrText>
        </w:r>
        <w:r w:rsidR="006B402A">
          <w:rPr>
            <w:webHidden/>
          </w:rPr>
        </w:r>
        <w:r w:rsidR="006B402A">
          <w:rPr>
            <w:webHidden/>
          </w:rPr>
          <w:fldChar w:fldCharType="separate"/>
        </w:r>
        <w:r w:rsidR="006B402A">
          <w:rPr>
            <w:webHidden/>
          </w:rPr>
          <w:t>9</w:t>
        </w:r>
        <w:r w:rsidR="006B402A">
          <w:rPr>
            <w:webHidden/>
          </w:rPr>
          <w:fldChar w:fldCharType="end"/>
        </w:r>
      </w:hyperlink>
    </w:p>
    <w:p w:rsidR="006B402A" w:rsidRDefault="0080562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</w:rPr>
      </w:pPr>
      <w:hyperlink w:anchor="_Toc417494453" w:history="1">
        <w:r w:rsidR="006B402A" w:rsidRPr="00816CFA">
          <w:rPr>
            <w:rStyle w:val="Hyperlink"/>
            <w:noProof/>
          </w:rPr>
          <w:t>14</w:t>
        </w:r>
        <w:r w:rsidR="006B40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</w:rPr>
          <w:tab/>
        </w:r>
        <w:r w:rsidR="006B402A" w:rsidRPr="00816CFA">
          <w:rPr>
            <w:rStyle w:val="Hyperlink"/>
            <w:noProof/>
          </w:rPr>
          <w:t>ANNEX HEAD1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_Toc417494453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9</w:t>
        </w:r>
        <w:r w:rsidR="006B402A">
          <w:rPr>
            <w:noProof/>
            <w:webHidden/>
          </w:rPr>
          <w:fldChar w:fldCharType="end"/>
        </w:r>
      </w:hyperlink>
    </w:p>
    <w:p w:rsidR="006B402A" w:rsidRDefault="00805623">
      <w:pPr>
        <w:pStyle w:val="TOC5"/>
        <w:tabs>
          <w:tab w:val="left" w:pos="1701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17494454" w:history="1">
        <w:r w:rsidR="006B402A" w:rsidRPr="00816CFA">
          <w:rPr>
            <w:rStyle w:val="Hyperlink"/>
            <w:noProof/>
          </w:rPr>
          <w:t>APPENDIX 1</w:t>
        </w:r>
        <w:r w:rsidR="006B402A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B402A" w:rsidRPr="00816CFA">
          <w:rPr>
            <w:rStyle w:val="Hyperlink"/>
            <w:noProof/>
          </w:rPr>
          <w:t>Appendix title</w:t>
        </w:r>
        <w:r w:rsidR="006B402A">
          <w:rPr>
            <w:noProof/>
            <w:webHidden/>
          </w:rPr>
          <w:tab/>
        </w:r>
        <w:r w:rsidR="006B402A">
          <w:rPr>
            <w:noProof/>
            <w:webHidden/>
          </w:rPr>
          <w:fldChar w:fldCharType="begin"/>
        </w:r>
        <w:r w:rsidR="006B402A">
          <w:rPr>
            <w:noProof/>
            <w:webHidden/>
          </w:rPr>
          <w:instrText xml:space="preserve"> PAGEREF _Toc417494454 \h </w:instrText>
        </w:r>
        <w:r w:rsidR="006B402A">
          <w:rPr>
            <w:noProof/>
            <w:webHidden/>
          </w:rPr>
        </w:r>
        <w:r w:rsidR="006B402A">
          <w:rPr>
            <w:noProof/>
            <w:webHidden/>
          </w:rPr>
          <w:fldChar w:fldCharType="separate"/>
        </w:r>
        <w:r w:rsidR="006B402A">
          <w:rPr>
            <w:noProof/>
            <w:webHidden/>
          </w:rPr>
          <w:t>10</w:t>
        </w:r>
        <w:r w:rsidR="006B402A">
          <w:rPr>
            <w:noProof/>
            <w:webHidden/>
          </w:rPr>
          <w:fldChar w:fldCharType="end"/>
        </w:r>
      </w:hyperlink>
    </w:p>
    <w:p w:rsidR="00DC1CA6" w:rsidRDefault="007379A8" w:rsidP="00380C7B">
      <w:r>
        <w:fldChar w:fldCharType="end"/>
      </w:r>
    </w:p>
    <w:p w:rsidR="00986D5A" w:rsidRDefault="00986D5A" w:rsidP="00986D5A">
      <w:pPr>
        <w:pStyle w:val="Title"/>
      </w:pPr>
      <w:bookmarkStart w:id="5" w:name="_Toc417493762"/>
      <w:bookmarkStart w:id="6" w:name="_Toc417494420"/>
      <w:r>
        <w:t>Index of Tables</w:t>
      </w:r>
      <w:bookmarkEnd w:id="5"/>
      <w:bookmarkEnd w:id="6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"Table_#" \c </w:instrText>
      </w:r>
      <w: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r>
        <w:fldChar w:fldCharType="end"/>
      </w:r>
    </w:p>
    <w:p w:rsidR="00986D5A" w:rsidRDefault="00986D5A" w:rsidP="00986D5A">
      <w:pPr>
        <w:pStyle w:val="Title"/>
      </w:pPr>
      <w:bookmarkStart w:id="7" w:name="_Toc417493763"/>
      <w:bookmarkStart w:id="8" w:name="_Toc417494421"/>
      <w:r>
        <w:t>Index of Figures</w:t>
      </w:r>
      <w:bookmarkEnd w:id="7"/>
      <w:bookmarkEnd w:id="8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9" w:name="_Toc417493764"/>
      <w:bookmarkStart w:id="10" w:name="_Toc417494422"/>
      <w:r w:rsidR="009E1230" w:rsidRPr="00371BEF">
        <w:rPr>
          <w:highlight w:val="yellow"/>
        </w:rPr>
        <w:lastRenderedPageBreak/>
        <w:t>Title of document</w:t>
      </w:r>
      <w:r w:rsidR="00986D5A">
        <w:t xml:space="preserve"> (Title style)</w:t>
      </w:r>
      <w:bookmarkEnd w:id="9"/>
      <w:bookmarkEnd w:id="10"/>
    </w:p>
    <w:p w:rsidR="006427BF" w:rsidRPr="00371BEF" w:rsidRDefault="006427BF" w:rsidP="00A14A4B">
      <w:pPr>
        <w:pStyle w:val="Heading1"/>
      </w:pPr>
      <w:bookmarkStart w:id="11" w:name="_Toc417493765"/>
      <w:bookmarkStart w:id="12" w:name="_Toc417494423"/>
      <w:r w:rsidRPr="00371BEF">
        <w:t>Heading 1</w:t>
      </w:r>
      <w:r w:rsidR="001A2B50" w:rsidRPr="00371BEF">
        <w:t xml:space="preserve"> </w:t>
      </w:r>
      <w:r w:rsidR="001A2B50" w:rsidRPr="00A14A4B">
        <w:rPr>
          <w:highlight w:val="green"/>
        </w:rPr>
        <w:t>[Introduction]</w:t>
      </w:r>
      <w:bookmarkEnd w:id="11"/>
      <w:bookmarkEnd w:id="12"/>
    </w:p>
    <w:p w:rsidR="006427BF" w:rsidRPr="00371BEF" w:rsidRDefault="006427BF" w:rsidP="006427BF">
      <w:pPr>
        <w:rPr>
          <w:lang w:eastAsia="de-DE"/>
        </w:rPr>
      </w:pPr>
      <w:r w:rsidRPr="00371BEF">
        <w:rPr>
          <w:lang w:eastAsia="de-DE"/>
        </w:rPr>
        <w:t>Followed by body text</w:t>
      </w:r>
    </w:p>
    <w:p w:rsidR="001A2B50" w:rsidRDefault="001A2B50" w:rsidP="006427BF">
      <w:r w:rsidRPr="00371BEF">
        <w:rPr>
          <w:highlight w:val="green"/>
        </w:rPr>
        <w:t>Information that is used to introduce the document, including reference to lead-up to the creation of the document.  This should also include references to any IALA Conference or Symposium recommendations that led to the document creation.</w:t>
      </w:r>
    </w:p>
    <w:p w:rsidR="00371BEF" w:rsidRPr="00371BEF" w:rsidRDefault="00371BEF" w:rsidP="006427BF">
      <w:r>
        <w:t>All text should be English UK</w:t>
      </w:r>
    </w:p>
    <w:p w:rsidR="006427BF" w:rsidRPr="00371BEF" w:rsidRDefault="006427BF" w:rsidP="00371BEF">
      <w:pPr>
        <w:pStyle w:val="Heading2"/>
      </w:pPr>
      <w:bookmarkStart w:id="13" w:name="_Toc417493766"/>
      <w:bookmarkStart w:id="14" w:name="_Toc417494424"/>
      <w:r w:rsidRPr="00371BEF">
        <w:t>Heading 2</w:t>
      </w:r>
      <w:bookmarkEnd w:id="13"/>
      <w:bookmarkEnd w:id="14"/>
    </w:p>
    <w:p w:rsidR="006427BF" w:rsidRPr="00371BEF" w:rsidRDefault="00032948" w:rsidP="00371BEF">
      <w:pPr>
        <w:pStyle w:val="BodyText"/>
        <w:rPr>
          <w:lang w:eastAsia="de-DE"/>
        </w:rPr>
      </w:pPr>
      <w:r>
        <w:rPr>
          <w:lang w:eastAsia="de-DE"/>
        </w:rPr>
        <w:t>Followed by Body T</w:t>
      </w:r>
      <w:r w:rsidR="006427BF" w:rsidRPr="00371BEF">
        <w:rPr>
          <w:lang w:eastAsia="de-DE"/>
        </w:rPr>
        <w:t>ext</w:t>
      </w:r>
    </w:p>
    <w:p w:rsidR="006427BF" w:rsidRPr="00371BEF" w:rsidRDefault="006427BF" w:rsidP="004A3893">
      <w:pPr>
        <w:pStyle w:val="Heading3"/>
      </w:pPr>
      <w:bookmarkStart w:id="15" w:name="_Toc417493767"/>
      <w:bookmarkStart w:id="16" w:name="_Toc417494425"/>
      <w:r w:rsidRPr="00371BEF">
        <w:t>Heading 3</w:t>
      </w:r>
      <w:bookmarkEnd w:id="15"/>
      <w:bookmarkEnd w:id="16"/>
    </w:p>
    <w:p w:rsidR="006427BF" w:rsidRPr="00371BEF" w:rsidRDefault="009A2C02" w:rsidP="00032948">
      <w:pPr>
        <w:pStyle w:val="BodyTextIndent"/>
      </w:pPr>
      <w:r w:rsidRPr="00371BEF">
        <w:t>Followed by body text Indent</w:t>
      </w:r>
    </w:p>
    <w:p w:rsidR="006427BF" w:rsidRPr="00371BEF" w:rsidRDefault="006427BF" w:rsidP="004A3893">
      <w:pPr>
        <w:pStyle w:val="Heading3"/>
      </w:pPr>
      <w:bookmarkStart w:id="17" w:name="_Toc417493768"/>
      <w:bookmarkStart w:id="18" w:name="_Toc417494426"/>
      <w:r w:rsidRPr="00371BEF">
        <w:t>Heading 3</w:t>
      </w:r>
      <w:bookmarkEnd w:id="17"/>
      <w:bookmarkEnd w:id="18"/>
    </w:p>
    <w:p w:rsidR="006427BF" w:rsidRPr="00371BEF" w:rsidRDefault="006427BF" w:rsidP="00032948">
      <w:pPr>
        <w:pStyle w:val="BodyTextIndent"/>
      </w:pPr>
      <w:r w:rsidRPr="00371BEF">
        <w:t xml:space="preserve">Followed by body text </w:t>
      </w:r>
      <w:r w:rsidR="00371BEF">
        <w:t>I</w:t>
      </w:r>
      <w:r w:rsidRPr="00371BEF">
        <w:t>ndent</w:t>
      </w:r>
    </w:p>
    <w:p w:rsidR="006427BF" w:rsidRPr="00371BEF" w:rsidRDefault="006427BF" w:rsidP="004A3893">
      <w:pPr>
        <w:pStyle w:val="Heading4"/>
      </w:pPr>
      <w:r w:rsidRPr="00371BEF">
        <w:t>Heading 4</w:t>
      </w:r>
    </w:p>
    <w:p w:rsidR="006427BF" w:rsidRPr="00032948" w:rsidRDefault="006427BF" w:rsidP="00032948">
      <w:pPr>
        <w:pStyle w:val="BodyTextIndent2"/>
      </w:pPr>
      <w:r w:rsidRPr="00032948">
        <w:t>Followed by</w:t>
      </w:r>
      <w:r w:rsidR="00371BEF" w:rsidRPr="00032948">
        <w:t xml:space="preserve"> body text I</w:t>
      </w:r>
      <w:r w:rsidRPr="00032948">
        <w:t>ndent 2</w:t>
      </w:r>
    </w:p>
    <w:p w:rsidR="00A14A4B" w:rsidRPr="00032948" w:rsidRDefault="00A14A4B" w:rsidP="00032948">
      <w:pPr>
        <w:pStyle w:val="BodyTextIndent2"/>
      </w:pPr>
      <w:r w:rsidRPr="00032948">
        <w:rPr>
          <w:highlight w:val="green"/>
        </w:rPr>
        <w:t>It should not be necessary to go to more than 4 levels of numbering and it is preferable to keep to 3.</w:t>
      </w:r>
    </w:p>
    <w:p w:rsidR="006427BF" w:rsidRPr="001039DF" w:rsidRDefault="001A2B50" w:rsidP="001039DF">
      <w:pPr>
        <w:pStyle w:val="Heading1"/>
        <w:rPr>
          <w:i/>
        </w:rPr>
      </w:pPr>
      <w:r w:rsidRPr="00371BEF">
        <w:t xml:space="preserve"> </w:t>
      </w:r>
      <w:bookmarkStart w:id="19" w:name="_Toc417493769"/>
      <w:bookmarkStart w:id="20" w:name="_Toc417494427"/>
      <w:r w:rsidRPr="001039DF">
        <w:rPr>
          <w:highlight w:val="green"/>
        </w:rPr>
        <w:t>[Background, as required]</w:t>
      </w:r>
      <w:bookmarkEnd w:id="19"/>
      <w:bookmarkEnd w:id="20"/>
    </w:p>
    <w:p w:rsidR="006427BF" w:rsidRPr="00371BE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:rsidR="001A2B50" w:rsidRPr="00371BEF" w:rsidRDefault="001A2B50" w:rsidP="004A3893">
      <w:pPr>
        <w:pStyle w:val="BodyText"/>
      </w:pPr>
      <w:r w:rsidRPr="00371BEF">
        <w:rPr>
          <w:highlight w:val="green"/>
        </w:rPr>
        <w:t>Background would be a section of the introduction, if required.  It could refer to previous editions or other IALA documents that have been used / are superseded by this document.</w:t>
      </w:r>
    </w:p>
    <w:p w:rsidR="006427BF" w:rsidRPr="00371BEF" w:rsidRDefault="006427BF" w:rsidP="00371BEF">
      <w:pPr>
        <w:pStyle w:val="Heading2"/>
      </w:pPr>
      <w:bookmarkStart w:id="21" w:name="_Toc417493770"/>
      <w:bookmarkStart w:id="22" w:name="_Toc417494428"/>
      <w:r w:rsidRPr="00371BEF">
        <w:t>Heading 2 again</w:t>
      </w:r>
      <w:bookmarkEnd w:id="21"/>
      <w:bookmarkEnd w:id="22"/>
    </w:p>
    <w:p w:rsidR="007379A8" w:rsidRDefault="007379A8" w:rsidP="007379A8">
      <w:pPr>
        <w:pStyle w:val="List1"/>
      </w:pPr>
      <w:r>
        <w:t>List 1</w:t>
      </w:r>
    </w:p>
    <w:p w:rsidR="007379A8" w:rsidRDefault="007379A8" w:rsidP="007379A8">
      <w:pPr>
        <w:pStyle w:val="List1text"/>
      </w:pPr>
      <w:r>
        <w:t>Can be followed by List 1 text</w:t>
      </w:r>
    </w:p>
    <w:p w:rsidR="007379A8" w:rsidRDefault="007379A8" w:rsidP="007379A8">
      <w:pPr>
        <w:pStyle w:val="List1indent"/>
      </w:pPr>
      <w:r>
        <w:t>List 1 indent</w:t>
      </w:r>
    </w:p>
    <w:p w:rsidR="007379A8" w:rsidRDefault="007379A8" w:rsidP="007379A8">
      <w:pPr>
        <w:pStyle w:val="List1indenttext"/>
      </w:pPr>
      <w:r>
        <w:t>Can be followed by List 1 indent text</w:t>
      </w:r>
    </w:p>
    <w:p w:rsidR="007379A8" w:rsidRDefault="007379A8" w:rsidP="007379A8">
      <w:pPr>
        <w:pStyle w:val="List1indent2"/>
      </w:pPr>
      <w:r>
        <w:t>List 1 indent 2</w:t>
      </w:r>
    </w:p>
    <w:p w:rsidR="007379A8" w:rsidRDefault="007379A8" w:rsidP="007379A8">
      <w:pPr>
        <w:pStyle w:val="List1indent2text"/>
      </w:pPr>
      <w:r>
        <w:t>Can be followed by List 1 indent 2 text</w:t>
      </w:r>
    </w:p>
    <w:p w:rsidR="006427B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:rsidR="004A3893" w:rsidRPr="004A3893" w:rsidRDefault="004A3893" w:rsidP="004A3893">
      <w:pPr>
        <w:pStyle w:val="Bullet1"/>
      </w:pPr>
      <w:bookmarkStart w:id="23" w:name="_Toc417493771"/>
      <w:r w:rsidRPr="004A3893">
        <w:t>Bullet 1</w:t>
      </w:r>
      <w:bookmarkEnd w:id="23"/>
    </w:p>
    <w:p w:rsidR="004A3893" w:rsidRPr="004A3893" w:rsidRDefault="00CB5860" w:rsidP="004A3893">
      <w:pPr>
        <w:pStyle w:val="Bullet1text"/>
      </w:pPr>
      <w:r>
        <w:t>Can be f</w:t>
      </w:r>
      <w:r w:rsidR="004A3893" w:rsidRPr="004A3893">
        <w:t>ollowed by Bullet 1 text</w:t>
      </w:r>
    </w:p>
    <w:p w:rsidR="004A3893" w:rsidRDefault="00CB5860" w:rsidP="004A3893">
      <w:pPr>
        <w:pStyle w:val="Bullet2"/>
      </w:pPr>
      <w:r>
        <w:t>Bullet 2</w:t>
      </w:r>
    </w:p>
    <w:p w:rsidR="00CB5860" w:rsidRDefault="00CB5860" w:rsidP="00CB5860">
      <w:pPr>
        <w:pStyle w:val="Bullet2text"/>
      </w:pPr>
      <w:r>
        <w:t>Can be followed by Bullet 2 text</w:t>
      </w:r>
    </w:p>
    <w:p w:rsidR="004F17F7" w:rsidRDefault="004F17F7" w:rsidP="00E7550C">
      <w:pPr>
        <w:pStyle w:val="Bullet3"/>
      </w:pPr>
      <w:r>
        <w:t>Bullet 3</w:t>
      </w:r>
    </w:p>
    <w:p w:rsidR="004F17F7" w:rsidRPr="00E7550C" w:rsidRDefault="00E7550C" w:rsidP="00E7550C">
      <w:pPr>
        <w:pStyle w:val="Bullet3text"/>
      </w:pPr>
      <w:r>
        <w:t>Can be followed by Bullet 3 text</w:t>
      </w:r>
    </w:p>
    <w:p w:rsidR="006427BF" w:rsidRPr="00371BEF" w:rsidRDefault="006427BF" w:rsidP="004A3893">
      <w:pPr>
        <w:pStyle w:val="Heading3"/>
      </w:pPr>
      <w:bookmarkStart w:id="24" w:name="_Toc417493772"/>
      <w:bookmarkStart w:id="25" w:name="_Toc417494429"/>
      <w:r w:rsidRPr="00371BEF">
        <w:t>Heading 3 again</w:t>
      </w:r>
      <w:bookmarkEnd w:id="24"/>
      <w:bookmarkEnd w:id="25"/>
    </w:p>
    <w:p w:rsidR="006427BF" w:rsidRPr="00371BEF" w:rsidRDefault="004F17F7" w:rsidP="00032948">
      <w:pPr>
        <w:pStyle w:val="BodyTextIndent2"/>
      </w:pPr>
      <w:r>
        <w:t>Can be f</w:t>
      </w:r>
      <w:r w:rsidRPr="004A3893">
        <w:t xml:space="preserve">ollowed by </w:t>
      </w:r>
      <w:r>
        <w:t>f</w:t>
      </w:r>
      <w:r w:rsidR="006427BF" w:rsidRPr="00371BEF">
        <w:t xml:space="preserve">ollowed by Body Text </w:t>
      </w:r>
      <w:r w:rsidR="004A3893">
        <w:t>I</w:t>
      </w:r>
      <w:r w:rsidR="006427BF" w:rsidRPr="00371BEF">
        <w:t>ndent</w:t>
      </w:r>
      <w:r w:rsidR="00DD6174">
        <w:t xml:space="preserve"> 2</w:t>
      </w:r>
    </w:p>
    <w:p w:rsidR="006427BF" w:rsidRPr="00371BEF" w:rsidRDefault="006427BF" w:rsidP="004A3893">
      <w:pPr>
        <w:pStyle w:val="Heading4"/>
      </w:pPr>
      <w:r w:rsidRPr="00371BEF">
        <w:lastRenderedPageBreak/>
        <w:t>Heading 4 again</w:t>
      </w:r>
    </w:p>
    <w:p w:rsidR="006427BF" w:rsidRPr="00DD6174" w:rsidRDefault="004F17F7" w:rsidP="00DD6174">
      <w:pPr>
        <w:pStyle w:val="BodyTextIndent3"/>
      </w:pPr>
      <w:r w:rsidRPr="00DD6174">
        <w:t>Can be followed by f</w:t>
      </w:r>
      <w:r w:rsidR="004A3893" w:rsidRPr="00DD6174">
        <w:t>ollowed by Body Text I</w:t>
      </w:r>
      <w:r w:rsidR="006427BF" w:rsidRPr="00DD6174">
        <w:t xml:space="preserve">ndent </w:t>
      </w:r>
      <w:r w:rsidR="00DD6174" w:rsidRPr="00DD6174">
        <w:t>3</w:t>
      </w:r>
    </w:p>
    <w:p w:rsidR="006427BF" w:rsidRPr="00371BEF" w:rsidRDefault="006427BF" w:rsidP="004A3893">
      <w:pPr>
        <w:pStyle w:val="Heading4"/>
      </w:pPr>
      <w:r w:rsidRPr="00371BEF">
        <w:t>Heading 4 again</w:t>
      </w:r>
    </w:p>
    <w:p w:rsidR="006427BF" w:rsidRPr="00371BEF" w:rsidRDefault="004A3893" w:rsidP="00DD6174">
      <w:pPr>
        <w:pStyle w:val="BodyTextIndent3"/>
      </w:pPr>
      <w:r>
        <w:t>Followed by Body Text I</w:t>
      </w:r>
      <w:r w:rsidR="00DD6174">
        <w:t>ndent 3</w:t>
      </w:r>
    </w:p>
    <w:p w:rsidR="001A2B50" w:rsidRPr="00371BEF" w:rsidRDefault="005E4B54" w:rsidP="00A14A4B">
      <w:pPr>
        <w:pStyle w:val="Heading1"/>
        <w:rPr>
          <w:highlight w:val="green"/>
        </w:rPr>
      </w:pPr>
      <w:bookmarkStart w:id="26" w:name="_Toc417493773"/>
      <w:bookmarkStart w:id="27" w:name="_Toc417494430"/>
      <w:r>
        <w:t>SCOPE</w:t>
      </w:r>
      <w:r w:rsidR="001A2B50" w:rsidRPr="00371BEF">
        <w:t xml:space="preserve"> </w:t>
      </w:r>
      <w:r w:rsidR="001A2B50" w:rsidRPr="00371BEF">
        <w:rPr>
          <w:highlight w:val="green"/>
        </w:rPr>
        <w:t>[Scope / Purpose (may be called Objectives)]</w:t>
      </w:r>
      <w:bookmarkEnd w:id="26"/>
      <w:bookmarkEnd w:id="27"/>
    </w:p>
    <w:p w:rsidR="005E4B54" w:rsidRPr="009662F0" w:rsidRDefault="005E4B54" w:rsidP="005E4B54">
      <w:pPr>
        <w:pStyle w:val="BodyText3"/>
        <w:spacing w:before="120"/>
        <w:jc w:val="both"/>
        <w:rPr>
          <w:i/>
          <w:sz w:val="20"/>
        </w:rPr>
      </w:pPr>
      <w:r>
        <w:rPr>
          <w:sz w:val="20"/>
        </w:rPr>
        <w:t xml:space="preserve">This document is a guideline for the use of SBAS in maritime domain. It describes SBAS applications and services envisaged and </w:t>
      </w:r>
      <w:r w:rsidR="004D11A5">
        <w:rPr>
          <w:sz w:val="20"/>
        </w:rPr>
        <w:t>its contribution to</w:t>
      </w:r>
      <w:r w:rsidRPr="009662F0">
        <w:rPr>
          <w:sz w:val="20"/>
        </w:rPr>
        <w:t xml:space="preserve"> achieve resilient PNT in the </w:t>
      </w:r>
      <w:r>
        <w:rPr>
          <w:sz w:val="20"/>
        </w:rPr>
        <w:t>maritime domain</w:t>
      </w:r>
      <w:r w:rsidRPr="009662F0">
        <w:rPr>
          <w:sz w:val="20"/>
        </w:rPr>
        <w:t xml:space="preserve">. </w:t>
      </w:r>
    </w:p>
    <w:p w:rsidR="001A2B50" w:rsidRPr="00371BEF" w:rsidRDefault="005E4B54" w:rsidP="005E4B54">
      <w:pPr>
        <w:pStyle w:val="BodyText"/>
        <w:rPr>
          <w:lang w:eastAsia="de-DE"/>
        </w:rPr>
      </w:pPr>
      <w:r>
        <w:rPr>
          <w:sz w:val="20"/>
        </w:rPr>
        <w:t>Additionally the intention would be to provide reference information as input for further recommendations and standards development.</w:t>
      </w:r>
    </w:p>
    <w:p w:rsidR="00371BEF" w:rsidRPr="00371BEF" w:rsidRDefault="00371BEF" w:rsidP="00371BEF">
      <w:pPr>
        <w:pStyle w:val="Table"/>
      </w:pPr>
      <w:bookmarkStart w:id="28" w:name="_Toc216488847"/>
      <w:r w:rsidRPr="00CB5860">
        <w:rPr>
          <w:highlight w:val="green"/>
        </w:rPr>
        <w:t>Title required</w:t>
      </w:r>
      <w:bookmarkEnd w:id="2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D3428B" w:rsidRPr="00D3428B" w:rsidTr="00D3428B"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3428B" w:rsidRPr="00D3428B" w:rsidTr="00D3428B"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3428B" w:rsidRPr="00D3428B" w:rsidTr="00D3428B"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3428B" w:rsidRPr="00D3428B" w:rsidTr="00D3428B"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371BEF" w:rsidRPr="00D3428B" w:rsidRDefault="00371BEF" w:rsidP="00D3428B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:rsidR="00371BEF" w:rsidRPr="00371BEF" w:rsidRDefault="00371BEF" w:rsidP="00371BEF">
      <w:pPr>
        <w:pStyle w:val="BodyText"/>
      </w:pPr>
      <w:r w:rsidRPr="00371BEF">
        <w:t>Note.  Titles of Tables go above them</w:t>
      </w:r>
      <w:r w:rsidR="00922B53">
        <w:t>.</w:t>
      </w:r>
      <w:r w:rsidRPr="00371BEF">
        <w:t xml:space="preserve">  This example has font size 10 with 3 pt above and below text and with the text centred vertically</w:t>
      </w:r>
    </w:p>
    <w:p w:rsidR="001A2B50" w:rsidRPr="00371BEF" w:rsidRDefault="001A2B50" w:rsidP="00A14A4B">
      <w:pPr>
        <w:pStyle w:val="Heading1"/>
        <w:rPr>
          <w:highlight w:val="green"/>
        </w:rPr>
      </w:pPr>
      <w:bookmarkStart w:id="29" w:name="_Toc417493774"/>
      <w:bookmarkStart w:id="30" w:name="_Toc417494431"/>
      <w:r w:rsidRPr="00371BEF">
        <w:t xml:space="preserve">Heading 1 again </w:t>
      </w:r>
      <w:r w:rsidRPr="00371BEF">
        <w:rPr>
          <w:highlight w:val="green"/>
        </w:rPr>
        <w:t>[Definitions / Acronyms, as required]</w:t>
      </w:r>
      <w:bookmarkEnd w:id="29"/>
      <w:bookmarkEnd w:id="30"/>
    </w:p>
    <w:p w:rsidR="001A2B50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CB5860" w:rsidRDefault="002D6AE7" w:rsidP="00CB5860">
      <w:pPr>
        <w:pStyle w:val="BodyText"/>
        <w:jc w:val="center"/>
        <w:rPr>
          <w:lang w:eastAsia="de-DE"/>
        </w:rPr>
      </w:pPr>
      <w:r>
        <w:rPr>
          <w:noProof/>
          <w:lang w:val="en-IE" w:eastAsia="en-IE"/>
        </w:rPr>
        <w:drawing>
          <wp:inline distT="0" distB="0" distL="0" distR="0" wp14:anchorId="032E804A" wp14:editId="29FC54A0">
            <wp:extent cx="3242945" cy="2360295"/>
            <wp:effectExtent l="0" t="0" r="0" b="1905"/>
            <wp:docPr id="1" name="Picture 1" descr="Description: 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arfield cartoon_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860" w:rsidRDefault="00CB5860" w:rsidP="00CB5860">
      <w:pPr>
        <w:pStyle w:val="Figure"/>
      </w:pPr>
      <w:bookmarkStart w:id="31" w:name="_Toc216488874"/>
      <w:r w:rsidRPr="00CB5860">
        <w:rPr>
          <w:highlight w:val="green"/>
        </w:rPr>
        <w:t>Title required</w:t>
      </w:r>
      <w:bookmarkEnd w:id="31"/>
    </w:p>
    <w:p w:rsidR="00CB5860" w:rsidRPr="00CB5860" w:rsidRDefault="00CB5860" w:rsidP="00CB5860">
      <w:pPr>
        <w:pStyle w:val="BodyText"/>
      </w:pPr>
      <w:r>
        <w:t>Figure titles come after the figures.  Graphics should, preferably be inserted at a text point and then centred.</w:t>
      </w:r>
    </w:p>
    <w:p w:rsidR="001A2B50" w:rsidRPr="00371BEF" w:rsidRDefault="001039DF" w:rsidP="00A14A4B">
      <w:pPr>
        <w:pStyle w:val="Heading1"/>
      </w:pPr>
      <w:bookmarkStart w:id="32" w:name="_Toc417493775"/>
      <w:bookmarkStart w:id="33" w:name="_Toc417494432"/>
      <w:r>
        <w:t>Description of SBAS System</w:t>
      </w:r>
      <w:bookmarkEnd w:id="32"/>
      <w:bookmarkEnd w:id="33"/>
      <w:r w:rsidRPr="00371BEF">
        <w:t xml:space="preserve"> </w:t>
      </w:r>
    </w:p>
    <w:p w:rsidR="001A2B50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039DF" w:rsidRDefault="001039DF" w:rsidP="00371BEF">
      <w:pPr>
        <w:pStyle w:val="BodyText"/>
        <w:rPr>
          <w:lang w:eastAsia="de-DE"/>
        </w:rPr>
      </w:pPr>
    </w:p>
    <w:p w:rsidR="001039DF" w:rsidRDefault="001039DF" w:rsidP="00371BEF">
      <w:pPr>
        <w:pStyle w:val="BodyText"/>
        <w:rPr>
          <w:lang w:eastAsia="de-DE"/>
        </w:rPr>
      </w:pPr>
    </w:p>
    <w:p w:rsidR="001039DF" w:rsidRPr="00371BEF" w:rsidRDefault="001039DF" w:rsidP="001039DF">
      <w:pPr>
        <w:pStyle w:val="Heading1"/>
      </w:pPr>
      <w:bookmarkStart w:id="34" w:name="_Toc417493776"/>
      <w:bookmarkStart w:id="35" w:name="_Toc417494433"/>
      <w:r w:rsidRPr="001039DF">
        <w:t>SBAS benefits and limitations</w:t>
      </w:r>
      <w:bookmarkEnd w:id="34"/>
      <w:bookmarkEnd w:id="35"/>
      <w:r w:rsidRPr="001039DF">
        <w:t xml:space="preserve"> </w:t>
      </w:r>
    </w:p>
    <w:p w:rsidR="001039DF" w:rsidRDefault="001039DF" w:rsidP="001039DF">
      <w:pPr>
        <w:pStyle w:val="BodyText"/>
        <w:rPr>
          <w:lang w:eastAsia="de-DE"/>
        </w:rPr>
      </w:pPr>
    </w:p>
    <w:p w:rsidR="001039DF" w:rsidRPr="00371BEF" w:rsidRDefault="001039DF" w:rsidP="001039DF">
      <w:pPr>
        <w:pStyle w:val="BodyText"/>
        <w:rPr>
          <w:lang w:eastAsia="de-DE"/>
        </w:rPr>
      </w:pPr>
      <w:r w:rsidRPr="00371BEF">
        <w:rPr>
          <w:lang w:eastAsia="de-DE"/>
        </w:rPr>
        <w:lastRenderedPageBreak/>
        <w:t>Body Text</w:t>
      </w:r>
    </w:p>
    <w:p w:rsidR="001039DF" w:rsidRDefault="001039DF" w:rsidP="00371BEF">
      <w:pPr>
        <w:pStyle w:val="BodyText"/>
        <w:rPr>
          <w:lang w:eastAsia="de-DE"/>
        </w:rPr>
      </w:pPr>
    </w:p>
    <w:p w:rsidR="00C75CDA" w:rsidRDefault="001039DF" w:rsidP="001039DF">
      <w:pPr>
        <w:pStyle w:val="Heading1"/>
      </w:pPr>
      <w:bookmarkStart w:id="36" w:name="_Toc417493777"/>
      <w:bookmarkStart w:id="37" w:name="_Toc417494434"/>
      <w:r w:rsidRPr="001039DF">
        <w:t>Identification of the different existing SBAS systems, coverage and performances</w:t>
      </w:r>
      <w:bookmarkEnd w:id="36"/>
      <w:bookmarkEnd w:id="37"/>
    </w:p>
    <w:p w:rsidR="005E4B54" w:rsidRDefault="00C75CDA" w:rsidP="005E4B54">
      <w:pPr>
        <w:pStyle w:val="Heading2"/>
        <w:rPr>
          <w:lang w:eastAsia="de-DE"/>
        </w:rPr>
      </w:pPr>
      <w:bookmarkStart w:id="38" w:name="_Toc417493778"/>
      <w:bookmarkStart w:id="39" w:name="_Toc417494435"/>
      <w:r>
        <w:rPr>
          <w:lang w:eastAsia="de-DE"/>
        </w:rPr>
        <w:t>PERFORMANCES</w:t>
      </w:r>
      <w:bookmarkEnd w:id="38"/>
      <w:bookmarkEnd w:id="39"/>
    </w:p>
    <w:p w:rsidR="005E4B54" w:rsidRDefault="00C75CDA" w:rsidP="005E4B54">
      <w:pPr>
        <w:pStyle w:val="Heading2"/>
        <w:rPr>
          <w:lang w:eastAsia="de-DE"/>
        </w:rPr>
      </w:pPr>
      <w:bookmarkStart w:id="40" w:name="_Toc417493779"/>
      <w:bookmarkStart w:id="41" w:name="_Toc417494436"/>
      <w:r>
        <w:rPr>
          <w:lang w:eastAsia="de-DE"/>
        </w:rPr>
        <w:t>COVERAGE</w:t>
      </w:r>
      <w:bookmarkEnd w:id="40"/>
      <w:bookmarkEnd w:id="41"/>
    </w:p>
    <w:p w:rsidR="005E4B54" w:rsidRDefault="00C75CDA" w:rsidP="005E4B54">
      <w:pPr>
        <w:pStyle w:val="Heading2"/>
        <w:rPr>
          <w:lang w:eastAsia="de-DE"/>
        </w:rPr>
      </w:pPr>
      <w:bookmarkStart w:id="42" w:name="_Toc417493780"/>
      <w:bookmarkStart w:id="43" w:name="_Toc417494437"/>
      <w:r>
        <w:t>INTEROPERABILITY</w:t>
      </w:r>
      <w:r w:rsidRPr="001039DF">
        <w:t xml:space="preserve"> </w:t>
      </w:r>
      <w:r>
        <w:t>(IWG)</w:t>
      </w:r>
      <w:bookmarkEnd w:id="42"/>
      <w:bookmarkEnd w:id="43"/>
    </w:p>
    <w:p w:rsidR="005E4B54" w:rsidRDefault="00C75CDA" w:rsidP="005E4B54">
      <w:pPr>
        <w:pStyle w:val="Heading2"/>
        <w:rPr>
          <w:lang w:eastAsia="de-DE"/>
        </w:rPr>
      </w:pPr>
      <w:bookmarkStart w:id="44" w:name="_Toc417493781"/>
      <w:bookmarkStart w:id="45" w:name="_Toc417494438"/>
      <w:r>
        <w:rPr>
          <w:lang w:eastAsia="de-DE"/>
        </w:rPr>
        <w:t>INTEGRITY CONCEPTS</w:t>
      </w:r>
      <w:bookmarkEnd w:id="44"/>
      <w:bookmarkEnd w:id="45"/>
    </w:p>
    <w:p w:rsidR="005E4B54" w:rsidRDefault="00C75CDA" w:rsidP="005E4B54">
      <w:pPr>
        <w:pStyle w:val="Heading3"/>
      </w:pPr>
      <w:bookmarkStart w:id="46" w:name="_Toc417493782"/>
      <w:bookmarkStart w:id="47" w:name="_Toc417494439"/>
      <w:r>
        <w:t>INTEGRITY AT SYSTEM LEVEL</w:t>
      </w:r>
      <w:bookmarkEnd w:id="46"/>
      <w:bookmarkEnd w:id="47"/>
    </w:p>
    <w:p w:rsidR="00C75CDA" w:rsidRPr="00C75CDA" w:rsidRDefault="00C75CDA" w:rsidP="005E4B54">
      <w:pPr>
        <w:pStyle w:val="Heading3"/>
      </w:pPr>
      <w:bookmarkStart w:id="48" w:name="_Toc417493783"/>
      <w:bookmarkStart w:id="49" w:name="_Toc417494440"/>
      <w:r>
        <w:t>INTEGRITY AT USERS’ RECEIVER LEVEL (SBAS INTEGRITY CONCEPT)</w:t>
      </w:r>
      <w:bookmarkEnd w:id="48"/>
      <w:bookmarkEnd w:id="49"/>
    </w:p>
    <w:p w:rsidR="001039DF" w:rsidRDefault="001039DF" w:rsidP="00371BEF">
      <w:pPr>
        <w:pStyle w:val="BodyText"/>
        <w:rPr>
          <w:lang w:eastAsia="de-DE"/>
        </w:rPr>
      </w:pPr>
    </w:p>
    <w:p w:rsidR="001039DF" w:rsidRDefault="001039DF" w:rsidP="001039DF">
      <w:pPr>
        <w:pStyle w:val="Heading1"/>
      </w:pPr>
      <w:bookmarkStart w:id="50" w:name="_Toc417493784"/>
      <w:bookmarkStart w:id="51" w:name="_Toc417494441"/>
      <w:r>
        <w:t>SBAS Services description and status, including current use of SBAS by the maritime community</w:t>
      </w:r>
      <w:bookmarkEnd w:id="50"/>
      <w:bookmarkEnd w:id="51"/>
    </w:p>
    <w:p w:rsidR="001039DF" w:rsidRPr="00371BEF" w:rsidRDefault="001039DF" w:rsidP="000A12CB">
      <w:pPr>
        <w:pStyle w:val="Heading1"/>
        <w:numPr>
          <w:ilvl w:val="0"/>
          <w:numId w:val="0"/>
        </w:numPr>
      </w:pPr>
    </w:p>
    <w:p w:rsidR="001039DF" w:rsidRPr="00371BEF" w:rsidRDefault="001039DF" w:rsidP="001039D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039DF" w:rsidRDefault="001039DF">
      <w:pPr>
        <w:rPr>
          <w:lang w:eastAsia="de-DE"/>
        </w:rPr>
      </w:pPr>
    </w:p>
    <w:p w:rsidR="001039DF" w:rsidRPr="00371BEF" w:rsidRDefault="001039DF" w:rsidP="001039DF">
      <w:pPr>
        <w:pStyle w:val="Heading1"/>
      </w:pPr>
      <w:bookmarkStart w:id="52" w:name="_Toc417493785"/>
      <w:bookmarkStart w:id="53" w:name="_Toc417494442"/>
      <w:r w:rsidRPr="001039DF">
        <w:t>SBAS future developments eg. Extension of SBAS coverages, new versions</w:t>
      </w:r>
      <w:bookmarkEnd w:id="52"/>
      <w:bookmarkEnd w:id="53"/>
    </w:p>
    <w:p w:rsidR="001039DF" w:rsidRDefault="001039DF" w:rsidP="001039D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5E4B54" w:rsidRDefault="001039DF" w:rsidP="005E4B54">
      <w:pPr>
        <w:pStyle w:val="Heading1"/>
      </w:pPr>
      <w:bookmarkStart w:id="54" w:name="_Toc417493786"/>
      <w:bookmarkStart w:id="55" w:name="_Toc417494443"/>
      <w:r w:rsidRPr="001039DF">
        <w:t>Potential use of SBAS in maritime</w:t>
      </w:r>
      <w:bookmarkStart w:id="56" w:name="_Ref386632750"/>
      <w:bookmarkEnd w:id="54"/>
      <w:bookmarkEnd w:id="55"/>
    </w:p>
    <w:p w:rsidR="005E4B54" w:rsidRDefault="001039DF" w:rsidP="005E4B54">
      <w:pPr>
        <w:pStyle w:val="Heading2"/>
      </w:pPr>
      <w:bookmarkStart w:id="57" w:name="_Toc417493787"/>
      <w:bookmarkStart w:id="58" w:name="_Toc417494444"/>
      <w:r w:rsidRPr="00813621">
        <w:t xml:space="preserve">SBAS </w:t>
      </w:r>
      <w:bookmarkEnd w:id="56"/>
      <w:r w:rsidRPr="00813621">
        <w:t>Signal In Space (SIS)</w:t>
      </w:r>
      <w:bookmarkStart w:id="59" w:name="_Ref386633732"/>
      <w:bookmarkEnd w:id="57"/>
      <w:bookmarkEnd w:id="58"/>
    </w:p>
    <w:p w:rsidR="005E4B54" w:rsidRDefault="001039DF" w:rsidP="005E4B54">
      <w:pPr>
        <w:pStyle w:val="Heading2"/>
      </w:pPr>
      <w:bookmarkStart w:id="60" w:name="_Toc417493788"/>
      <w:bookmarkStart w:id="61" w:name="_Toc417494445"/>
      <w:r w:rsidRPr="00813621">
        <w:t>SBAS over DGNSS messages (IALA Beacon)</w:t>
      </w:r>
      <w:bookmarkEnd w:id="59"/>
      <w:bookmarkEnd w:id="60"/>
      <w:bookmarkEnd w:id="61"/>
    </w:p>
    <w:p w:rsidR="005E4B54" w:rsidRDefault="001039DF" w:rsidP="005E4B54">
      <w:pPr>
        <w:pStyle w:val="Heading2"/>
      </w:pPr>
      <w:bookmarkStart w:id="62" w:name="_Toc417493789"/>
      <w:bookmarkStart w:id="63" w:name="_Toc417494446"/>
      <w:r w:rsidRPr="00813621">
        <w:t>SBAS over Automatic Identification System (AIS)</w:t>
      </w:r>
      <w:bookmarkEnd w:id="62"/>
      <w:bookmarkEnd w:id="63"/>
    </w:p>
    <w:p w:rsidR="005E4B54" w:rsidRDefault="001039DF" w:rsidP="005E4B54">
      <w:pPr>
        <w:pStyle w:val="Heading2"/>
      </w:pPr>
      <w:bookmarkStart w:id="64" w:name="_Toc417493790"/>
      <w:bookmarkStart w:id="65" w:name="_Toc417494447"/>
      <w:r w:rsidRPr="00813621">
        <w:t>SBAS based Virtual Reference Stations (VRS)</w:t>
      </w:r>
      <w:bookmarkEnd w:id="64"/>
      <w:bookmarkEnd w:id="65"/>
    </w:p>
    <w:p w:rsidR="001039DF" w:rsidRDefault="001039DF" w:rsidP="005E4B54">
      <w:pPr>
        <w:pStyle w:val="Heading2"/>
      </w:pPr>
      <w:bookmarkStart w:id="66" w:name="_Toc417493791"/>
      <w:bookmarkStart w:id="67" w:name="_Toc417494448"/>
      <w:r w:rsidRPr="00813621">
        <w:t>SBAS  over other data channels under development such as VDES (VHF Data Exchange System) and LDC (Loran Data Channel)</w:t>
      </w:r>
      <w:bookmarkEnd w:id="66"/>
      <w:bookmarkEnd w:id="67"/>
    </w:p>
    <w:p w:rsidR="001039DF" w:rsidRPr="001039DF" w:rsidRDefault="001039DF" w:rsidP="001039DF">
      <w:pPr>
        <w:pStyle w:val="BodyText"/>
        <w:rPr>
          <w:lang w:eastAsia="de-DE"/>
        </w:rPr>
      </w:pPr>
    </w:p>
    <w:p w:rsidR="001039DF" w:rsidRPr="001039DF" w:rsidRDefault="001039DF" w:rsidP="001039DF">
      <w:pPr>
        <w:pStyle w:val="Heading1"/>
      </w:pPr>
      <w:bookmarkStart w:id="68" w:name="_Toc417493792"/>
      <w:bookmarkStart w:id="69" w:name="_Toc417494449"/>
      <w:r w:rsidRPr="001039DF">
        <w:t>Consideration on how SBAS can be used in a resilient PNT system.</w:t>
      </w:r>
      <w:bookmarkEnd w:id="68"/>
      <w:bookmarkEnd w:id="69"/>
    </w:p>
    <w:p w:rsidR="001039DF" w:rsidRPr="00371BEF" w:rsidRDefault="001039DF" w:rsidP="001039D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039DF" w:rsidRPr="00371BEF" w:rsidRDefault="001039DF" w:rsidP="006B402A">
      <w:pPr>
        <w:pStyle w:val="Heading1"/>
      </w:pPr>
      <w:bookmarkStart w:id="70" w:name="_Toc417493793"/>
      <w:bookmarkStart w:id="71" w:name="_Toc417494450"/>
      <w:r w:rsidRPr="001039DF">
        <w:t>Pr</w:t>
      </w:r>
      <w:bookmarkStart w:id="72" w:name="_Toc417493794"/>
      <w:bookmarkEnd w:id="70"/>
      <w:r w:rsidRPr="001039DF">
        <w:t>e-requisite for the adoption of SBAS</w:t>
      </w:r>
      <w:bookmarkEnd w:id="71"/>
      <w:bookmarkEnd w:id="72"/>
      <w:r w:rsidRPr="006B402A">
        <w:rPr>
          <w:highlight w:val="green"/>
        </w:rPr>
        <w:t xml:space="preserve"> </w:t>
      </w:r>
    </w:p>
    <w:p w:rsidR="001039DF" w:rsidRDefault="001039DF" w:rsidP="001039D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039DF" w:rsidRDefault="001039DF" w:rsidP="001039DF">
      <w:pPr>
        <w:pStyle w:val="BodyText"/>
        <w:rPr>
          <w:lang w:eastAsia="de-DE"/>
        </w:rPr>
      </w:pPr>
    </w:p>
    <w:p w:rsidR="001A2B50" w:rsidRPr="00371BEF" w:rsidRDefault="006B402A" w:rsidP="00A14A4B">
      <w:pPr>
        <w:pStyle w:val="Heading1"/>
      </w:pPr>
      <w:bookmarkStart w:id="73" w:name="_Toc417493795"/>
      <w:bookmarkStart w:id="74" w:name="_Toc417494451"/>
      <w:r>
        <w:t>conclusions</w:t>
      </w:r>
      <w:bookmarkEnd w:id="73"/>
      <w:bookmarkEnd w:id="74"/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75" w:name="_Toc417493796"/>
      <w:bookmarkStart w:id="76" w:name="_Toc417494452"/>
      <w:r w:rsidR="006427BF" w:rsidRPr="00371BEF">
        <w:lastRenderedPageBreak/>
        <w:t>Annex</w:t>
      </w:r>
      <w:bookmarkEnd w:id="75"/>
      <w:bookmarkEnd w:id="76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5E4B54">
      <w:pPr>
        <w:pStyle w:val="Heading1"/>
      </w:pPr>
      <w:bookmarkStart w:id="77" w:name="_Toc417493797"/>
      <w:bookmarkStart w:id="78" w:name="_Toc417494453"/>
      <w:r>
        <w:t>ANNEX HEAD1</w:t>
      </w:r>
      <w:bookmarkEnd w:id="77"/>
      <w:bookmarkEnd w:id="78"/>
    </w:p>
    <w:p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bookmarkStart w:id="79" w:name="_Toc417493798"/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  <w:bookmarkEnd w:id="79"/>
    </w:p>
    <w:p w:rsidR="00986D5A" w:rsidRPr="00A14A4B" w:rsidRDefault="00986D5A" w:rsidP="00986D5A">
      <w:pPr>
        <w:pStyle w:val="Bullet1"/>
        <w:rPr>
          <w:highlight w:val="yellow"/>
        </w:rPr>
      </w:pPr>
      <w:bookmarkStart w:id="80" w:name="_Toc417493799"/>
      <w:r w:rsidRPr="00A14A4B">
        <w:rPr>
          <w:highlight w:val="yellow"/>
        </w:rPr>
        <w:t>Office 2007, go to down arrow next to Numbering icon and select Set Numbering Value</w:t>
      </w:r>
      <w:bookmarkEnd w:id="80"/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81" w:name="_Toc417494454"/>
      <w:r w:rsidRPr="00F155DC">
        <w:lastRenderedPageBreak/>
        <w:t>Appendix title</w:t>
      </w:r>
      <w:bookmarkEnd w:id="81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4"/>
      <w:footerReference w:type="default" r:id="rId15"/>
      <w:headerReference w:type="first" r:id="rId16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623" w:rsidRDefault="00805623" w:rsidP="009E1230">
      <w:r>
        <w:separator/>
      </w:r>
    </w:p>
  </w:endnote>
  <w:endnote w:type="continuationSeparator" w:id="0">
    <w:p w:rsidR="00805623" w:rsidRDefault="00805623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B54" w:rsidRPr="008136BC" w:rsidRDefault="005E4B54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585129">
      <w:rPr>
        <w:noProof/>
        <w:lang w:val="en-US"/>
      </w:rPr>
      <w:t>4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585129">
      <w:rPr>
        <w:noProof/>
        <w:lang w:val="en-US"/>
      </w:rPr>
      <w:t>10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623" w:rsidRDefault="00805623" w:rsidP="009E1230">
      <w:r>
        <w:separator/>
      </w:r>
    </w:p>
  </w:footnote>
  <w:footnote w:type="continuationSeparator" w:id="0">
    <w:p w:rsidR="00805623" w:rsidRDefault="00805623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B54" w:rsidRDefault="005E4B54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>Guideline #### – Name of Guideline</w:t>
    </w:r>
  </w:p>
  <w:p w:rsidR="005E4B54" w:rsidRDefault="005E4B54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  <w:p w:rsidR="005E4B54" w:rsidRDefault="005E4B54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129" w:rsidRDefault="00585129" w:rsidP="005671E1">
    <w:pPr>
      <w:pStyle w:val="Header"/>
      <w:jc w:val="right"/>
    </w:pPr>
    <w:r>
      <w:t>ENAV17-13.4</w:t>
    </w:r>
  </w:p>
  <w:p w:rsidR="005671E1" w:rsidRDefault="00585129" w:rsidP="005671E1">
    <w:pPr>
      <w:pStyle w:val="Header"/>
      <w:jc w:val="right"/>
    </w:pPr>
    <w:r>
      <w:t xml:space="preserve">Formerly </w:t>
    </w:r>
    <w:r w:rsidR="005671E1">
      <w:t>ENAV16-14.2.43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 w15:restartNumberingAfterBreak="0">
    <w:nsid w:val="18A7660B"/>
    <w:multiLevelType w:val="hybridMultilevel"/>
    <w:tmpl w:val="FC0293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CFF1FB8"/>
    <w:multiLevelType w:val="multilevel"/>
    <w:tmpl w:val="28AA84CE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 w15:restartNumberingAfterBreak="0">
    <w:nsid w:val="44041789"/>
    <w:multiLevelType w:val="multilevel"/>
    <w:tmpl w:val="1622765C"/>
    <w:lvl w:ilvl="0">
      <w:start w:val="1"/>
      <w:numFmt w:val="decimal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21" w15:restartNumberingAfterBreak="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9"/>
  </w:num>
  <w:num w:numId="4">
    <w:abstractNumId w:val="17"/>
  </w:num>
  <w:num w:numId="5">
    <w:abstractNumId w:val="21"/>
  </w:num>
  <w:num w:numId="6">
    <w:abstractNumId w:val="10"/>
  </w:num>
  <w:num w:numId="7">
    <w:abstractNumId w:val="27"/>
  </w:num>
  <w:num w:numId="8">
    <w:abstractNumId w:val="19"/>
  </w:num>
  <w:num w:numId="9">
    <w:abstractNumId w:val="25"/>
  </w:num>
  <w:num w:numId="10">
    <w:abstractNumId w:val="13"/>
  </w:num>
  <w:num w:numId="11">
    <w:abstractNumId w:val="28"/>
  </w:num>
  <w:num w:numId="12">
    <w:abstractNumId w:val="23"/>
  </w:num>
  <w:num w:numId="13">
    <w:abstractNumId w:val="8"/>
  </w:num>
  <w:num w:numId="14">
    <w:abstractNumId w:val="15"/>
  </w:num>
  <w:num w:numId="15">
    <w:abstractNumId w:val="22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1"/>
  </w:num>
  <w:num w:numId="35">
    <w:abstractNumId w:val="16"/>
  </w:num>
  <w:num w:numId="36">
    <w:abstractNumId w:val="18"/>
  </w:num>
  <w:num w:numId="37">
    <w:abstractNumId w:val="18"/>
  </w:num>
  <w:num w:numId="38">
    <w:abstractNumId w:val="18"/>
  </w:num>
  <w:num w:numId="39">
    <w:abstractNumId w:val="13"/>
  </w:num>
  <w:num w:numId="40">
    <w:abstractNumId w:val="24"/>
  </w:num>
  <w:num w:numId="41">
    <w:abstractNumId w:val="15"/>
  </w:num>
  <w:num w:numId="42">
    <w:abstractNumId w:val="14"/>
  </w:num>
  <w:num w:numId="43">
    <w:abstractNumId w:val="14"/>
  </w:num>
  <w:num w:numId="44">
    <w:abstractNumId w:val="14"/>
  </w:num>
  <w:num w:numId="45">
    <w:abstractNumId w:val="12"/>
  </w:num>
  <w:num w:numId="46">
    <w:abstractNumId w:val="20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32948"/>
    <w:rsid w:val="000420D8"/>
    <w:rsid w:val="000448A8"/>
    <w:rsid w:val="000A12CB"/>
    <w:rsid w:val="001039DF"/>
    <w:rsid w:val="00137456"/>
    <w:rsid w:val="00162C42"/>
    <w:rsid w:val="0018656F"/>
    <w:rsid w:val="00190B2B"/>
    <w:rsid w:val="001A2B50"/>
    <w:rsid w:val="001D3B7C"/>
    <w:rsid w:val="001D5DFD"/>
    <w:rsid w:val="00207DD1"/>
    <w:rsid w:val="00244044"/>
    <w:rsid w:val="00251E23"/>
    <w:rsid w:val="00277327"/>
    <w:rsid w:val="002835CE"/>
    <w:rsid w:val="002A6AAB"/>
    <w:rsid w:val="002B4786"/>
    <w:rsid w:val="002D6AE7"/>
    <w:rsid w:val="002E7CE7"/>
    <w:rsid w:val="002F7535"/>
    <w:rsid w:val="00317D7F"/>
    <w:rsid w:val="0032315C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75439"/>
    <w:rsid w:val="004A104C"/>
    <w:rsid w:val="004A3893"/>
    <w:rsid w:val="004C2F5C"/>
    <w:rsid w:val="004D11A5"/>
    <w:rsid w:val="004E650B"/>
    <w:rsid w:val="004F17F7"/>
    <w:rsid w:val="004F72F9"/>
    <w:rsid w:val="0052391D"/>
    <w:rsid w:val="00564600"/>
    <w:rsid w:val="005671E1"/>
    <w:rsid w:val="00582569"/>
    <w:rsid w:val="00585129"/>
    <w:rsid w:val="005A6C35"/>
    <w:rsid w:val="005C1481"/>
    <w:rsid w:val="005E4B54"/>
    <w:rsid w:val="00632734"/>
    <w:rsid w:val="006427BF"/>
    <w:rsid w:val="00655287"/>
    <w:rsid w:val="00666C42"/>
    <w:rsid w:val="00684816"/>
    <w:rsid w:val="006B402A"/>
    <w:rsid w:val="006E71A4"/>
    <w:rsid w:val="006F5BF7"/>
    <w:rsid w:val="00721DBE"/>
    <w:rsid w:val="007367B0"/>
    <w:rsid w:val="007379A8"/>
    <w:rsid w:val="0075170E"/>
    <w:rsid w:val="00752173"/>
    <w:rsid w:val="00767FC6"/>
    <w:rsid w:val="007E43BC"/>
    <w:rsid w:val="00805623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3B71"/>
    <w:rsid w:val="00986D5A"/>
    <w:rsid w:val="00994846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24417"/>
    <w:rsid w:val="00B43C65"/>
    <w:rsid w:val="00B534F2"/>
    <w:rsid w:val="00B6686E"/>
    <w:rsid w:val="00B66DC6"/>
    <w:rsid w:val="00B75C73"/>
    <w:rsid w:val="00B9616F"/>
    <w:rsid w:val="00BD11AF"/>
    <w:rsid w:val="00BE1BEC"/>
    <w:rsid w:val="00C528B9"/>
    <w:rsid w:val="00C531DA"/>
    <w:rsid w:val="00C75503"/>
    <w:rsid w:val="00C75842"/>
    <w:rsid w:val="00C75CDA"/>
    <w:rsid w:val="00C92711"/>
    <w:rsid w:val="00CB5315"/>
    <w:rsid w:val="00CB5860"/>
    <w:rsid w:val="00CD7575"/>
    <w:rsid w:val="00D145F2"/>
    <w:rsid w:val="00D3428B"/>
    <w:rsid w:val="00D50131"/>
    <w:rsid w:val="00D52150"/>
    <w:rsid w:val="00D847AD"/>
    <w:rsid w:val="00D86532"/>
    <w:rsid w:val="00D879DA"/>
    <w:rsid w:val="00DB585F"/>
    <w:rsid w:val="00DC1CA6"/>
    <w:rsid w:val="00DD6174"/>
    <w:rsid w:val="00DE7FF5"/>
    <w:rsid w:val="00E37CF6"/>
    <w:rsid w:val="00E711D8"/>
    <w:rsid w:val="00E7550C"/>
    <w:rsid w:val="00E96B82"/>
    <w:rsid w:val="00ED2684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0550F92-C592-4438-B659-143E003D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4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0A12CB"/>
    <w:pPr>
      <w:numPr>
        <w:numId w:val="42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44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styleId="BodyText3">
    <w:name w:val="Body Text 3"/>
    <w:basedOn w:val="Normal"/>
    <w:link w:val="BodyText3Char"/>
    <w:rsid w:val="001039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039DF"/>
    <w:rPr>
      <w:sz w:val="16"/>
      <w:szCs w:val="16"/>
    </w:rPr>
  </w:style>
  <w:style w:type="paragraph" w:customStyle="1" w:styleId="List1indent1">
    <w:name w:val="List 1 indent 1"/>
    <w:basedOn w:val="Normal"/>
    <w:qFormat/>
    <w:rsid w:val="001039DF"/>
    <w:pPr>
      <w:tabs>
        <w:tab w:val="num" w:pos="2421"/>
      </w:tabs>
      <w:spacing w:after="120"/>
      <w:ind w:left="2421" w:hanging="567"/>
      <w:jc w:val="both"/>
    </w:pPr>
    <w:rPr>
      <w:rFonts w:eastAsia="Calibri"/>
    </w:rPr>
  </w:style>
  <w:style w:type="paragraph" w:styleId="TOCHeading">
    <w:name w:val="TOC Heading"/>
    <w:basedOn w:val="Heading1"/>
    <w:next w:val="Normal"/>
    <w:uiPriority w:val="39"/>
    <w:unhideWhenUsed/>
    <w:qFormat/>
    <w:rsid w:val="005E4B5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ontact@iala-aism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FABE5-956B-4EAE-958A-A0C10E8A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8073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Manuel LOPEZ MARTINEZ</dc:creator>
  <cp:lastModifiedBy>Seamus Doyle</cp:lastModifiedBy>
  <cp:revision>4</cp:revision>
  <cp:lastPrinted>2008-12-16T07:01:00Z</cp:lastPrinted>
  <dcterms:created xsi:type="dcterms:W3CDTF">2015-04-22T17:32:00Z</dcterms:created>
  <dcterms:modified xsi:type="dcterms:W3CDTF">2015-09-12T13:36:00Z</dcterms:modified>
</cp:coreProperties>
</file>